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1EED" w14:textId="21F9EE36" w:rsidR="00473C79" w:rsidRPr="00E42475" w:rsidRDefault="00815CB9" w:rsidP="00473C79">
      <w:pPr>
        <w:shd w:val="clear" w:color="auto" w:fill="FFFFFF"/>
        <w:spacing w:after="225" w:line="630" w:lineRule="atLeast"/>
        <w:outlineLvl w:val="0"/>
        <w:rPr>
          <w:rFonts w:ascii="Arial" w:eastAsia="Times New Roman" w:hAnsi="Arial" w:cs="Arial"/>
          <w:b/>
          <w:bCs/>
          <w:kern w:val="36"/>
          <w:sz w:val="40"/>
          <w:szCs w:val="40"/>
          <w:lang w:eastAsia="en-AU"/>
        </w:rPr>
      </w:pPr>
      <w:r w:rsidRPr="00E42475">
        <w:rPr>
          <w:rFonts w:ascii="Arial" w:eastAsia="Times New Roman" w:hAnsi="Arial" w:cs="Arial"/>
          <w:b/>
          <w:bCs/>
          <w:kern w:val="36"/>
          <w:sz w:val="40"/>
          <w:szCs w:val="40"/>
          <w:lang w:eastAsia="en-AU"/>
        </w:rPr>
        <w:t xml:space="preserve">Companion </w:t>
      </w:r>
      <w:r w:rsidR="00473C79" w:rsidRPr="00E42475">
        <w:rPr>
          <w:rFonts w:ascii="Arial" w:eastAsia="Times New Roman" w:hAnsi="Arial" w:cs="Arial"/>
          <w:b/>
          <w:bCs/>
          <w:kern w:val="36"/>
          <w:sz w:val="40"/>
          <w:szCs w:val="40"/>
          <w:lang w:eastAsia="en-AU"/>
        </w:rPr>
        <w:t>Cardholder Terms And Conditions</w:t>
      </w:r>
    </w:p>
    <w:p w14:paraId="54AA8972"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The Companion Card must only be used when the cardholder requires the assistance of a companion to participate at a particular venue/activity.</w:t>
      </w:r>
    </w:p>
    <w:p w14:paraId="2D67B887"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Only the person whose photograph and details appear on the Companion Card can use the card.</w:t>
      </w:r>
    </w:p>
    <w:p w14:paraId="7F1ECBE9"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Companion Tickets cannot be used without the Companion Card cardholder being present.</w:t>
      </w:r>
    </w:p>
    <w:p w14:paraId="5B81A4AD"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Companion Card cardholders must inform the venue/activity operator of their requirement for a Companion Ticket at the time they book or purchase their own ticket.</w:t>
      </w:r>
    </w:p>
    <w:p w14:paraId="17976494"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Acceptance of the Companion Card does not indicate that a venue/activity is accessible. Cardholders are advised to check accessibility with the venue/activity operator before booking tickets.</w:t>
      </w:r>
    </w:p>
    <w:p w14:paraId="25FA528A"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The minimum expectation of Companion Card affiliates is that they will issue cardholders, who require assistance to participate, with one Companion Ticket or admission, at no charge. This ticket will be exempt from all booking fees.</w:t>
      </w:r>
    </w:p>
    <w:p w14:paraId="0F3D4AA2"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Where a cardholder has a requirement for more than one companion, the cardholder must negotiate this with the venue/activity operator at the time of booking.</w:t>
      </w:r>
    </w:p>
    <w:p w14:paraId="3D64DBCE"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The Companion Card can be used to obtain admission for any programs, services and sessions run by affiliated venue/activity operators. This will be subject to the usual admission availability and conditions.</w:t>
      </w:r>
    </w:p>
    <w:p w14:paraId="61513517"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The Companion Card can be used in conjunction with any recognised concession cards.</w:t>
      </w:r>
    </w:p>
    <w:p w14:paraId="036EA999"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Cardholders must provide their Companion Card details when making telephone bookings, and must present their valid card during ticket collection, and at any time when asked during the activity. If cardholders cannot present their card, they may be charged for the Companion Ticket.</w:t>
      </w:r>
    </w:p>
    <w:p w14:paraId="476CF7D2"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Affiliated venues/activities must ensure cardholders are able to be located physically close to their companions. Companions must remain close to cardholders to assist them as required. Cardholders with specific seating requirements must inform the venue/activity operator at the time of booking.</w:t>
      </w:r>
    </w:p>
    <w:p w14:paraId="3A6C17B2"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Some venue/activity operators may charge for participation over and above general admission costs (e.g. a fee for rides in addition to an entry fee at a fun park). Affiliated venues/activities must issue a Companion Ticket for both admission and for additional components, such as rides etc., if the cardholder requires assistance in order to participate.</w:t>
      </w:r>
    </w:p>
    <w:p w14:paraId="5FD5CA6C"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lastRenderedPageBreak/>
        <w:t>Companion Cards may be used to purchase a package deal for the cardholder that combines admission costs with ancillary components such as meals etc. When booking a package deal, cardholders must check with the venue/activity operator, what is included with the Companion Ticket. It is essential that the companion’s support to the cardholder is not disrupted if the ancillary components are not included in the Companion Ticket. For example, if meals are not included, the Companion must be able to bring or access food in a manner that enables them to provide continual support to the cardholder.</w:t>
      </w:r>
    </w:p>
    <w:p w14:paraId="27C38B5F"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Booking and ticket distribution practices for Companion Tickets should not be more difficult than the standard ticketing practices of the affiliated venue/activity.</w:t>
      </w:r>
    </w:p>
    <w:p w14:paraId="13C671D6"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If an affiliated venue/activity operator suspects that a Companion Card is being misused, they can report this to the Companion Card program. Proven misuse of the Companion Card may result in the card being cancelled, and the cardholder will be ineligible to reapply.</w:t>
      </w:r>
    </w:p>
    <w:p w14:paraId="3F09ECAB" w14:textId="77777777" w:rsidR="00473C79" w:rsidRPr="00E42475" w:rsidRDefault="00473C79" w:rsidP="00473C79">
      <w:pPr>
        <w:numPr>
          <w:ilvl w:val="0"/>
          <w:numId w:val="1"/>
        </w:numPr>
        <w:shd w:val="clear" w:color="auto" w:fill="FFFFFF"/>
        <w:spacing w:before="240" w:after="100" w:afterAutospacing="1" w:line="240" w:lineRule="auto"/>
        <w:rPr>
          <w:rFonts w:ascii="Arial" w:eastAsia="Times New Roman" w:hAnsi="Arial" w:cs="Arial"/>
          <w:sz w:val="24"/>
          <w:szCs w:val="24"/>
          <w:lang w:eastAsia="en-AU"/>
        </w:rPr>
      </w:pPr>
      <w:r w:rsidRPr="00E42475">
        <w:rPr>
          <w:rFonts w:ascii="Arial" w:eastAsia="Times New Roman" w:hAnsi="Arial" w:cs="Arial"/>
          <w:sz w:val="24"/>
          <w:szCs w:val="24"/>
          <w:lang w:eastAsia="en-AU"/>
        </w:rPr>
        <w:t>It is understood that the applicant accepts the Companion Card Cardholder Terms and Conditions when they submit a Cardholder Application Form.</w:t>
      </w:r>
    </w:p>
    <w:p w14:paraId="17261A1F" w14:textId="77777777" w:rsidR="00985720" w:rsidRPr="00E42475" w:rsidRDefault="00985720">
      <w:pPr>
        <w:rPr>
          <w:rFonts w:ascii="Arial" w:hAnsi="Arial" w:cs="Arial"/>
          <w:sz w:val="24"/>
          <w:szCs w:val="24"/>
        </w:rPr>
      </w:pPr>
    </w:p>
    <w:sectPr w:rsidR="00985720" w:rsidRPr="00E42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45E01"/>
    <w:multiLevelType w:val="multilevel"/>
    <w:tmpl w:val="13C2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79"/>
    <w:rsid w:val="00473C79"/>
    <w:rsid w:val="00815CB9"/>
    <w:rsid w:val="00985720"/>
    <w:rsid w:val="00E42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59D8"/>
  <w15:chartTrackingRefBased/>
  <w15:docId w15:val="{5FD57D23-3ECE-4D50-9453-0CBF24E0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5286">
      <w:bodyDiv w:val="1"/>
      <w:marLeft w:val="0"/>
      <w:marRight w:val="0"/>
      <w:marTop w:val="0"/>
      <w:marBottom w:val="0"/>
      <w:divBdr>
        <w:top w:val="none" w:sz="0" w:space="0" w:color="auto"/>
        <w:left w:val="none" w:sz="0" w:space="0" w:color="auto"/>
        <w:bottom w:val="none" w:sz="0" w:space="0" w:color="auto"/>
        <w:right w:val="none" w:sz="0" w:space="0" w:color="auto"/>
      </w:divBdr>
      <w:divsChild>
        <w:div w:id="1311443482">
          <w:marLeft w:val="0"/>
          <w:marRight w:val="0"/>
          <w:marTop w:val="0"/>
          <w:marBottom w:val="0"/>
          <w:divBdr>
            <w:top w:val="none" w:sz="0" w:space="0" w:color="auto"/>
            <w:left w:val="none" w:sz="0" w:space="0" w:color="auto"/>
            <w:bottom w:val="none" w:sz="0" w:space="0" w:color="auto"/>
            <w:right w:val="none" w:sz="0" w:space="0" w:color="auto"/>
          </w:divBdr>
        </w:div>
      </w:divsChild>
    </w:div>
    <w:div w:id="1213150995">
      <w:bodyDiv w:val="1"/>
      <w:marLeft w:val="0"/>
      <w:marRight w:val="0"/>
      <w:marTop w:val="0"/>
      <w:marBottom w:val="0"/>
      <w:divBdr>
        <w:top w:val="none" w:sz="0" w:space="0" w:color="auto"/>
        <w:left w:val="none" w:sz="0" w:space="0" w:color="auto"/>
        <w:bottom w:val="none" w:sz="0" w:space="0" w:color="auto"/>
        <w:right w:val="none" w:sz="0" w:space="0" w:color="auto"/>
      </w:divBdr>
      <w:divsChild>
        <w:div w:id="45995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O'Sullivan</dc:creator>
  <cp:keywords/>
  <dc:description/>
  <cp:lastModifiedBy>Megan O'Sullivan</cp:lastModifiedBy>
  <cp:revision>3</cp:revision>
  <dcterms:created xsi:type="dcterms:W3CDTF">2021-06-15T06:46:00Z</dcterms:created>
  <dcterms:modified xsi:type="dcterms:W3CDTF">2021-06-15T06:49:00Z</dcterms:modified>
</cp:coreProperties>
</file>